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B849C3" w:rsidRPr="00B849C3" w:rsidRDefault="00B849C3" w:rsidP="00B849C3">
            <w:pPr>
              <w:pStyle w:val="NoSpacing"/>
              <w:rPr>
                <w:rFonts w:asciiTheme="majorHAnsi" w:eastAsiaTheme="majorEastAsia" w:hAnsiTheme="majorHAnsi" w:cstheme="majorBidi"/>
                <w:b/>
                <w:bCs/>
                <w:color w:val="365F91" w:themeColor="accent1" w:themeShade="BF"/>
                <w:sz w:val="32"/>
                <w:szCs w:val="32"/>
              </w:rPr>
            </w:pPr>
            <w:r w:rsidRPr="00B849C3">
              <w:rPr>
                <w:rFonts w:asciiTheme="majorHAnsi" w:eastAsiaTheme="majorEastAsia" w:hAnsiTheme="majorHAnsi" w:cstheme="majorBidi"/>
                <w:b/>
                <w:bCs/>
                <w:color w:val="365F91" w:themeColor="accent1" w:themeShade="BF"/>
                <w:sz w:val="32"/>
                <w:szCs w:val="32"/>
              </w:rPr>
              <w:t xml:space="preserve">DETECTING, PREVENTING &amp; REPORTING FRAUD </w:t>
            </w:r>
          </w:p>
          <w:p w:rsidR="00B849C3" w:rsidRPr="00B849C3" w:rsidRDefault="00B849C3" w:rsidP="00B849C3">
            <w:pPr>
              <w:pStyle w:val="NoSpacing"/>
              <w:rPr>
                <w:rFonts w:asciiTheme="majorHAnsi" w:eastAsiaTheme="majorEastAsia" w:hAnsiTheme="majorHAnsi" w:cstheme="majorBidi"/>
                <w:b/>
                <w:bCs/>
                <w:color w:val="365F91" w:themeColor="accent1" w:themeShade="BF"/>
                <w:sz w:val="32"/>
                <w:szCs w:val="32"/>
              </w:rPr>
            </w:pPr>
            <w:r w:rsidRPr="00B849C3">
              <w:rPr>
                <w:rFonts w:asciiTheme="majorHAnsi" w:eastAsiaTheme="majorEastAsia" w:hAnsiTheme="majorHAnsi" w:cstheme="majorBidi"/>
                <w:b/>
                <w:bCs/>
                <w:color w:val="365F91" w:themeColor="accent1" w:themeShade="BF"/>
                <w:sz w:val="32"/>
                <w:szCs w:val="32"/>
              </w:rPr>
              <w:t xml:space="preserve">AND FINANCIAL IRREGULARITIES </w:t>
            </w:r>
          </w:p>
          <w:p w:rsidR="003F6F40" w:rsidRPr="003F6F40" w:rsidRDefault="00B849C3" w:rsidP="00B849C3">
            <w:pPr>
              <w:pStyle w:val="NoSpacing"/>
              <w:rPr>
                <w:rFonts w:asciiTheme="majorHAnsi" w:eastAsiaTheme="majorEastAsia" w:hAnsiTheme="majorHAnsi" w:cstheme="majorBidi"/>
                <w:b/>
                <w:bCs/>
                <w:color w:val="365F91" w:themeColor="accent1" w:themeShade="BF"/>
                <w:sz w:val="48"/>
                <w:szCs w:val="48"/>
              </w:rPr>
            </w:pPr>
            <w:r w:rsidRPr="00B849C3">
              <w:rPr>
                <w:rFonts w:asciiTheme="majorHAnsi" w:eastAsiaTheme="majorEastAsia" w:hAnsiTheme="majorHAnsi" w:cstheme="majorBidi"/>
                <w:b/>
                <w:bCs/>
                <w:color w:val="365F91" w:themeColor="accent1" w:themeShade="BF"/>
                <w:sz w:val="32"/>
                <w:szCs w:val="32"/>
              </w:rPr>
              <w:t>– What A Company Secretary Needs To Do</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7A3D96" w:rsidP="004130EF">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1</w:t>
            </w:r>
            <w:r w:rsidR="004130EF">
              <w:rPr>
                <w:rFonts w:asciiTheme="minorHAnsi" w:eastAsiaTheme="minorEastAsia" w:hAnsiTheme="minorHAnsi" w:cstheme="minorBidi"/>
                <w:sz w:val="28"/>
                <w:szCs w:val="28"/>
              </w:rPr>
              <w:t>8</w:t>
            </w:r>
            <w:r w:rsidR="00105552">
              <w:rPr>
                <w:rFonts w:asciiTheme="minorHAnsi" w:eastAsiaTheme="minorEastAsia" w:hAnsiTheme="minorHAnsi" w:cstheme="minorBidi"/>
                <w:sz w:val="28"/>
                <w:szCs w:val="28"/>
              </w:rPr>
              <w:t xml:space="preserve"> </w:t>
            </w:r>
            <w:r w:rsidR="00146055">
              <w:rPr>
                <w:rFonts w:asciiTheme="minorHAnsi" w:eastAsiaTheme="minorEastAsia" w:hAnsiTheme="minorHAnsi" w:cstheme="minorBidi"/>
                <w:sz w:val="28"/>
                <w:szCs w:val="28"/>
              </w:rPr>
              <w:t>Mar / 0</w:t>
            </w:r>
            <w:r w:rsidR="004130EF">
              <w:rPr>
                <w:rFonts w:asciiTheme="minorHAnsi" w:eastAsiaTheme="minorEastAsia" w:hAnsiTheme="minorHAnsi" w:cstheme="minorBidi"/>
                <w:sz w:val="28"/>
                <w:szCs w:val="28"/>
              </w:rPr>
              <w:t>3</w:t>
            </w:r>
            <w:r w:rsidR="00146055">
              <w:rPr>
                <w:rFonts w:asciiTheme="minorHAnsi" w:eastAsiaTheme="minorEastAsia" w:hAnsiTheme="minorHAnsi" w:cstheme="minorBidi"/>
                <w:sz w:val="28"/>
                <w:szCs w:val="28"/>
              </w:rPr>
              <w:t xml:space="preserve"> </w:t>
            </w:r>
            <w:r w:rsidR="00B437BE">
              <w:rPr>
                <w:rFonts w:asciiTheme="minorHAnsi" w:eastAsiaTheme="minorEastAsia" w:hAnsiTheme="minorHAnsi" w:cstheme="minorBidi"/>
                <w:sz w:val="28"/>
                <w:szCs w:val="28"/>
              </w:rPr>
              <w:t>May</w:t>
            </w:r>
            <w:r w:rsidR="00146055">
              <w:rPr>
                <w:rFonts w:asciiTheme="minorHAnsi" w:eastAsiaTheme="minorEastAsia" w:hAnsiTheme="minorHAnsi" w:cstheme="minorBidi"/>
                <w:sz w:val="28"/>
                <w:szCs w:val="28"/>
              </w:rPr>
              <w:t xml:space="preserve"> / </w:t>
            </w:r>
            <w:r w:rsidR="00B437BE">
              <w:rPr>
                <w:rFonts w:asciiTheme="minorHAnsi" w:eastAsiaTheme="minorEastAsia" w:hAnsiTheme="minorHAnsi" w:cstheme="minorBidi"/>
                <w:sz w:val="28"/>
                <w:szCs w:val="28"/>
              </w:rPr>
              <w:t>1</w:t>
            </w:r>
            <w:r w:rsidR="004130EF">
              <w:rPr>
                <w:rFonts w:asciiTheme="minorHAnsi" w:eastAsiaTheme="minorEastAsia" w:hAnsiTheme="minorHAnsi" w:cstheme="minorBidi"/>
                <w:sz w:val="28"/>
                <w:szCs w:val="28"/>
              </w:rPr>
              <w:t>4</w:t>
            </w:r>
            <w:r w:rsidR="00146055">
              <w:rPr>
                <w:rFonts w:asciiTheme="minorHAnsi" w:eastAsiaTheme="minorEastAsia" w:hAnsiTheme="minorHAnsi" w:cstheme="minorBidi"/>
                <w:sz w:val="28"/>
                <w:szCs w:val="28"/>
              </w:rPr>
              <w:t xml:space="preserve"> Jun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B849C3" w:rsidP="00146055">
            <w:pPr>
              <w:pStyle w:val="NoSpacing"/>
              <w:jc w:val="both"/>
              <w:rPr>
                <w:rFonts w:asciiTheme="minorHAnsi" w:eastAsiaTheme="minorEastAsia" w:hAnsiTheme="minorHAnsi" w:cstheme="minorBidi"/>
              </w:rPr>
            </w:pPr>
            <w:r w:rsidRPr="00B849C3">
              <w:rPr>
                <w:rFonts w:asciiTheme="minorHAnsi" w:eastAsiaTheme="minorEastAsia" w:hAnsiTheme="minorHAnsi" w:cstheme="minorBidi"/>
              </w:rPr>
              <w:t>Company Secretaries today must demonstrate the ability to highlight potential red flags and to assist the Board in its governance process in detecting, preventing and reporting issues of potential frauds or financial irregularities to the appropriate Authorities and Regulators. Accordingly, Company Secretaries must learn best practices in good corporate governance for fraud detection and preventive controls in addressing possible crimes to be committed in the operating environment to effectively assist the Board in safeguarding the company’s assets and to understand the whistle-blowing policy.</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EE7D10">
      <w:r w:rsidRPr="00EE7D10">
        <w:rPr>
          <w:noProof/>
          <w:lang w:eastAsia="zh-TW"/>
        </w:rPr>
        <w:pict>
          <v:group id="_x0000_s1027" style="position:absolute;margin-left:2695.15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EE7D10">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EE7D10">
        <w:rPr>
          <w:noProof/>
          <w:lang w:eastAsia="zh-TW"/>
        </w:rPr>
        <w:pict>
          <v:group id="_x0000_s1033" style="position:absolute;margin-left:3939.9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EE7D10"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EE7D10">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251652096;mso-height-percent:200;mso-height-percent:200;mso-width-relative:margin;mso-height-relative:margin" stroked="f">
            <v:textbox style="mso-fit-shape-to-text:t">
              <w:txbxContent>
                <w:p w:rsidR="004C3B41" w:rsidRPr="004B250B" w:rsidRDefault="004C3B41">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EE7D10"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311A19" w:rsidRDefault="001C48D9" w:rsidP="001C48D9">
      <w:pPr>
        <w:ind w:left="-450"/>
        <w:jc w:val="both"/>
        <w:rPr>
          <w:rFonts w:asciiTheme="minorHAnsi" w:hAnsiTheme="minorHAnsi"/>
        </w:rPr>
      </w:pPr>
      <w:r w:rsidRPr="001C48D9">
        <w:rPr>
          <w:rFonts w:asciiTheme="minorHAnsi" w:hAnsiTheme="minorHAnsi"/>
        </w:rPr>
        <w:t>Company Secretaries today must demonstrate the ability to highlight potential red flags and to assist the Board in its governance process in detecting, preventing and reporting issues of potential frauds or financial irregularities to the appropriate Authorities and Regulators. Accordingly, Company Secretaries must learn best practices in good corporate governance for fraud detection and preventive controls in addressing possible crimes to be committed in the operating environment to effectively assist the Board in safeguarding the company’s assets and to understand the whistle-blowing policy.</w:t>
      </w:r>
    </w:p>
    <w:p w:rsidR="001C48D9" w:rsidRDefault="001C48D9" w:rsidP="00B9676C">
      <w:pPr>
        <w:ind w:left="-450"/>
        <w:rPr>
          <w:rFonts w:asciiTheme="minorHAnsi" w:hAnsiTheme="minorHAnsi"/>
        </w:rPr>
      </w:pPr>
    </w:p>
    <w:p w:rsidR="003F6F40" w:rsidRPr="00B26841" w:rsidRDefault="00EE7D10"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CB6394">
      <w:pPr>
        <w:ind w:left="-450"/>
        <w:rPr>
          <w:rFonts w:asciiTheme="minorHAnsi" w:hAnsiTheme="minorHAnsi"/>
        </w:rPr>
      </w:pPr>
    </w:p>
    <w:p w:rsidR="001C48D9" w:rsidRDefault="001C48D9" w:rsidP="00AE6D93">
      <w:pPr>
        <w:ind w:left="-450"/>
        <w:rPr>
          <w:rFonts w:asciiTheme="minorHAnsi" w:hAnsiTheme="minorHAnsi"/>
        </w:rPr>
      </w:pPr>
      <w:r w:rsidRPr="001C48D9">
        <w:rPr>
          <w:rFonts w:asciiTheme="minorHAnsi" w:hAnsiTheme="minorHAnsi"/>
        </w:rPr>
        <w:t>This practical course updates participants to:-</w:t>
      </w:r>
    </w:p>
    <w:p w:rsidR="001C48D9" w:rsidRPr="001C48D9" w:rsidRDefault="001C48D9" w:rsidP="001C48D9">
      <w:pPr>
        <w:pStyle w:val="ListParagraph"/>
        <w:numPr>
          <w:ilvl w:val="0"/>
          <w:numId w:val="8"/>
        </w:numPr>
        <w:spacing w:after="0" w:line="240" w:lineRule="auto"/>
        <w:ind w:left="-141" w:hanging="284"/>
        <w:jc w:val="both"/>
        <w:rPr>
          <w:rFonts w:asciiTheme="minorHAnsi" w:hAnsiTheme="minorHAnsi"/>
        </w:rPr>
      </w:pPr>
      <w:r w:rsidRPr="001C48D9">
        <w:rPr>
          <w:rFonts w:asciiTheme="minorHAnsi" w:hAnsiTheme="minorHAnsi"/>
        </w:rPr>
        <w:t>understand the importance of sound governance framework,</w:t>
      </w:r>
    </w:p>
    <w:p w:rsidR="001C48D9" w:rsidRPr="001C48D9" w:rsidRDefault="001C48D9" w:rsidP="001C48D9">
      <w:pPr>
        <w:pStyle w:val="ListParagraph"/>
        <w:numPr>
          <w:ilvl w:val="0"/>
          <w:numId w:val="8"/>
        </w:numPr>
        <w:spacing w:after="0" w:line="240" w:lineRule="auto"/>
        <w:ind w:left="-141" w:hanging="284"/>
        <w:jc w:val="both"/>
        <w:rPr>
          <w:rFonts w:asciiTheme="minorHAnsi" w:hAnsiTheme="minorHAnsi"/>
        </w:rPr>
      </w:pPr>
      <w:r w:rsidRPr="001C48D9">
        <w:rPr>
          <w:rFonts w:asciiTheme="minorHAnsi" w:hAnsiTheme="minorHAnsi"/>
        </w:rPr>
        <w:t>gain an in-depth insight on oversight and internal audit function activities, and</w:t>
      </w:r>
    </w:p>
    <w:p w:rsidR="001C48D9" w:rsidRPr="001C48D9" w:rsidRDefault="001C48D9" w:rsidP="001C48D9">
      <w:pPr>
        <w:pStyle w:val="ListParagraph"/>
        <w:numPr>
          <w:ilvl w:val="0"/>
          <w:numId w:val="8"/>
        </w:numPr>
        <w:spacing w:after="0" w:line="240" w:lineRule="auto"/>
        <w:ind w:left="-141" w:hanging="284"/>
        <w:jc w:val="both"/>
        <w:rPr>
          <w:rFonts w:asciiTheme="minorHAnsi" w:hAnsiTheme="minorHAnsi"/>
        </w:rPr>
      </w:pPr>
      <w:r w:rsidRPr="001C48D9">
        <w:rPr>
          <w:rFonts w:asciiTheme="minorHAnsi" w:hAnsiTheme="minorHAnsi"/>
        </w:rPr>
        <w:t>learn best practices in administrating the Whistle-blowing policy</w:t>
      </w:r>
    </w:p>
    <w:p w:rsidR="001C48D9" w:rsidRDefault="001C48D9" w:rsidP="00AE6D93">
      <w:pPr>
        <w:ind w:left="-450"/>
        <w:rPr>
          <w:rFonts w:asciiTheme="minorHAnsi" w:hAnsiTheme="minorHAnsi"/>
        </w:rPr>
      </w:pPr>
      <w:r>
        <w:rPr>
          <w:rFonts w:asciiTheme="minorHAnsi" w:hAnsiTheme="minorHAnsi"/>
          <w:noProof/>
          <w:lang w:val="en-US"/>
        </w:rPr>
        <w:pict>
          <v:roundrect id="_x0000_s1049" style="position:absolute;left:0;text-align:left;margin-left:-29.6pt;margin-top:12.6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CB6394" w:rsidRDefault="00CB6394" w:rsidP="00AE6D93">
      <w:pPr>
        <w:ind w:left="-450"/>
        <w:rPr>
          <w:rFonts w:asciiTheme="minorHAnsi" w:hAnsiTheme="minorHAnsi"/>
        </w:rPr>
      </w:pPr>
    </w:p>
    <w:p w:rsidR="00CB6394" w:rsidRDefault="00CB6394" w:rsidP="00AE6D93">
      <w:pPr>
        <w:ind w:left="-450"/>
        <w:rPr>
          <w:rFonts w:asciiTheme="minorHAnsi" w:hAnsiTheme="minorHAnsi"/>
        </w:rPr>
      </w:pPr>
    </w:p>
    <w:p w:rsidR="001C48D9" w:rsidRPr="001C48D9" w:rsidRDefault="001C48D9" w:rsidP="001C48D9">
      <w:pPr>
        <w:pStyle w:val="ListParagraph"/>
        <w:numPr>
          <w:ilvl w:val="0"/>
          <w:numId w:val="9"/>
        </w:numPr>
        <w:spacing w:after="0" w:line="240" w:lineRule="auto"/>
        <w:ind w:left="-141" w:hanging="284"/>
        <w:contextualSpacing w:val="0"/>
        <w:jc w:val="both"/>
        <w:rPr>
          <w:rFonts w:asciiTheme="minorHAnsi" w:hAnsiTheme="minorHAnsi"/>
        </w:rPr>
      </w:pPr>
      <w:r w:rsidRPr="001C48D9">
        <w:rPr>
          <w:rFonts w:asciiTheme="minorHAnsi" w:hAnsiTheme="minorHAnsi"/>
        </w:rPr>
        <w:t>Structure The Governance Framework &amp; Ethical Standards</w:t>
      </w:r>
    </w:p>
    <w:p w:rsidR="001C48D9" w:rsidRPr="001C48D9" w:rsidRDefault="001C48D9" w:rsidP="001C48D9">
      <w:pPr>
        <w:pStyle w:val="ListParagraph"/>
        <w:numPr>
          <w:ilvl w:val="0"/>
          <w:numId w:val="9"/>
        </w:numPr>
        <w:spacing w:after="0" w:line="240" w:lineRule="auto"/>
        <w:ind w:left="-141" w:hanging="284"/>
        <w:contextualSpacing w:val="0"/>
        <w:jc w:val="both"/>
        <w:rPr>
          <w:rFonts w:asciiTheme="minorHAnsi" w:hAnsiTheme="minorHAnsi"/>
        </w:rPr>
      </w:pPr>
      <w:r w:rsidRPr="001C48D9">
        <w:rPr>
          <w:rFonts w:asciiTheme="minorHAnsi" w:hAnsiTheme="minorHAnsi"/>
        </w:rPr>
        <w:t>Enhance The Financial Reporting Chain</w:t>
      </w:r>
    </w:p>
    <w:p w:rsidR="001C48D9" w:rsidRPr="001C48D9" w:rsidRDefault="001C48D9" w:rsidP="001C48D9">
      <w:pPr>
        <w:pStyle w:val="ListParagraph"/>
        <w:numPr>
          <w:ilvl w:val="0"/>
          <w:numId w:val="9"/>
        </w:numPr>
        <w:spacing w:after="0" w:line="240" w:lineRule="auto"/>
        <w:ind w:left="-141" w:hanging="284"/>
        <w:contextualSpacing w:val="0"/>
        <w:jc w:val="both"/>
        <w:rPr>
          <w:rFonts w:asciiTheme="minorHAnsi" w:hAnsiTheme="minorHAnsi"/>
        </w:rPr>
      </w:pPr>
      <w:r w:rsidRPr="001C48D9">
        <w:rPr>
          <w:rFonts w:asciiTheme="minorHAnsi" w:hAnsiTheme="minorHAnsi"/>
        </w:rPr>
        <w:t>Understand The Motivation For Malpractices</w:t>
      </w:r>
    </w:p>
    <w:p w:rsidR="001C48D9" w:rsidRPr="001C48D9" w:rsidRDefault="001C48D9" w:rsidP="001C48D9">
      <w:pPr>
        <w:pStyle w:val="ListParagraph"/>
        <w:numPr>
          <w:ilvl w:val="0"/>
          <w:numId w:val="9"/>
        </w:numPr>
        <w:spacing w:after="0" w:line="240" w:lineRule="auto"/>
        <w:ind w:left="-141" w:hanging="284"/>
        <w:contextualSpacing w:val="0"/>
        <w:jc w:val="both"/>
        <w:rPr>
          <w:rFonts w:asciiTheme="minorHAnsi" w:hAnsiTheme="minorHAnsi"/>
        </w:rPr>
      </w:pPr>
      <w:r w:rsidRPr="001C48D9">
        <w:rPr>
          <w:rFonts w:asciiTheme="minorHAnsi" w:hAnsiTheme="minorHAnsi"/>
        </w:rPr>
        <w:t>Know The Type Of Corporate Crime &amp; Scandalous Activities</w:t>
      </w:r>
    </w:p>
    <w:p w:rsidR="00311A19" w:rsidRPr="001C48D9" w:rsidRDefault="001C48D9" w:rsidP="001C48D9">
      <w:pPr>
        <w:pStyle w:val="ListParagraph"/>
        <w:numPr>
          <w:ilvl w:val="0"/>
          <w:numId w:val="9"/>
        </w:numPr>
        <w:spacing w:after="0" w:line="240" w:lineRule="auto"/>
        <w:ind w:left="-141" w:hanging="284"/>
        <w:contextualSpacing w:val="0"/>
        <w:jc w:val="both"/>
        <w:rPr>
          <w:rFonts w:asciiTheme="minorHAnsi" w:hAnsiTheme="minorHAnsi"/>
        </w:rPr>
      </w:pPr>
      <w:r w:rsidRPr="001C48D9">
        <w:rPr>
          <w:rFonts w:asciiTheme="minorHAnsi" w:hAnsiTheme="minorHAnsi"/>
        </w:rPr>
        <w:t>Examine Accounting Fraud &amp; Misappropriation Of Assets</w:t>
      </w:r>
    </w:p>
    <w:p w:rsidR="001C48D9" w:rsidRDefault="001C48D9" w:rsidP="00311A19">
      <w:pPr>
        <w:rPr>
          <w:rFonts w:asciiTheme="minorHAnsi" w:hAnsiTheme="minorHAnsi"/>
        </w:rPr>
      </w:pPr>
    </w:p>
    <w:p w:rsidR="00374C5A" w:rsidRDefault="00EE7D10" w:rsidP="00AE6D93">
      <w:pPr>
        <w:ind w:left="-450"/>
        <w:rPr>
          <w:rFonts w:asciiTheme="minorHAnsi" w:hAnsiTheme="minorHAnsi"/>
        </w:rPr>
      </w:pPr>
      <w:r>
        <w:rPr>
          <w:rFonts w:asciiTheme="minorHAnsi" w:hAnsiTheme="minorHAnsi"/>
          <w:noProof/>
          <w:lang w:val="en-US"/>
        </w:rPr>
        <w:lastRenderedPageBreak/>
        <w:pict>
          <v:roundrect id="_x0000_s1063" style="position:absolute;left:0;text-align:left;margin-left:-8.2pt;margin-top:5.8pt;width:150.55pt;height:23.4pt;z-index:-251648000" arcsize="10923f">
            <v:shadow on="t" offset="3pt" offset2="2pt"/>
            <v:textbox>
              <w:txbxContent>
                <w:p w:rsidR="004C3B41" w:rsidRPr="00B9676C" w:rsidRDefault="00311A19" w:rsidP="00374C5A">
                  <w:pPr>
                    <w:rPr>
                      <w:rFonts w:asciiTheme="minorHAnsi" w:hAnsiTheme="minorHAnsi"/>
                    </w:rPr>
                  </w:pPr>
                  <w:r>
                    <w:rPr>
                      <w:rFonts w:asciiTheme="minorHAnsi" w:hAnsiTheme="minorHAnsi"/>
                    </w:rPr>
                    <w:t>WHO SHOULD ATTEND</w:t>
                  </w:r>
                </w:p>
              </w:txbxContent>
            </v:textbox>
          </v:roundrect>
        </w:pict>
      </w:r>
    </w:p>
    <w:p w:rsidR="00374C5A" w:rsidRDefault="00374C5A" w:rsidP="00374C5A">
      <w:pPr>
        <w:jc w:val="both"/>
        <w:rPr>
          <w:rFonts w:asciiTheme="minorHAnsi" w:hAnsiTheme="minorHAnsi"/>
        </w:rPr>
      </w:pPr>
    </w:p>
    <w:p w:rsidR="00374C5A" w:rsidRDefault="00374C5A" w:rsidP="00374C5A">
      <w:pPr>
        <w:jc w:val="both"/>
        <w:rPr>
          <w:rFonts w:asciiTheme="minorHAnsi" w:hAnsiTheme="minorHAnsi"/>
        </w:rPr>
      </w:pPr>
    </w:p>
    <w:p w:rsidR="003F6F40" w:rsidRDefault="00374C5A" w:rsidP="00374C5A">
      <w:pPr>
        <w:jc w:val="both"/>
        <w:rPr>
          <w:rFonts w:asciiTheme="minorHAnsi" w:hAnsiTheme="minorHAnsi"/>
        </w:rPr>
      </w:pPr>
      <w:r w:rsidRPr="00374C5A">
        <w:rPr>
          <w:rFonts w:asciiTheme="minorHAnsi" w:hAnsiTheme="minorHAnsi"/>
        </w:rPr>
        <w:t>Audit Committee Members / Company Directors / Chief Executive Officers / Chief Financial Officers / Chief Compliance Officers / Company Secretaries / Investor Relations Officers / Auditors / Accountants and those who are assisting in the preparation of Annual Reports and corporate disclosures.</w:t>
      </w:r>
    </w:p>
    <w:p w:rsidR="00374C5A" w:rsidRDefault="00374C5A" w:rsidP="003F6F40">
      <w:pPr>
        <w:rPr>
          <w:rFonts w:asciiTheme="minorHAnsi" w:hAnsiTheme="minorHAnsi"/>
        </w:rPr>
      </w:pPr>
    </w:p>
    <w:p w:rsidR="003F6F40" w:rsidRPr="00B26841" w:rsidRDefault="00EE7D10"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EE7D10">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7757BC" w:rsidP="004130EF">
            <w:pPr>
              <w:ind w:right="308"/>
              <w:jc w:val="both"/>
              <w:rPr>
                <w:rFonts w:asciiTheme="minorHAnsi" w:hAnsiTheme="minorHAnsi" w:cs="Segoe UI Semibold"/>
                <w:sz w:val="20"/>
              </w:rPr>
            </w:pPr>
            <w:r>
              <w:rPr>
                <w:rFonts w:asciiTheme="minorHAnsi" w:hAnsiTheme="minorHAnsi" w:cs="Segoe UI Semibold"/>
                <w:sz w:val="20"/>
              </w:rPr>
              <w:t>1</w:t>
            </w:r>
            <w:r w:rsidR="004130EF">
              <w:rPr>
                <w:rFonts w:asciiTheme="minorHAnsi" w:hAnsiTheme="minorHAnsi" w:cs="Segoe UI Semibold"/>
                <w:sz w:val="20"/>
              </w:rPr>
              <w:t>8</w:t>
            </w:r>
            <w:r>
              <w:rPr>
                <w:rFonts w:asciiTheme="minorHAnsi" w:hAnsiTheme="minorHAnsi" w:cs="Segoe UI Semibold"/>
                <w:sz w:val="20"/>
              </w:rPr>
              <w:t xml:space="preserve"> Mar/0</w:t>
            </w:r>
            <w:r w:rsidR="004130EF">
              <w:rPr>
                <w:rFonts w:asciiTheme="minorHAnsi" w:hAnsiTheme="minorHAnsi" w:cs="Segoe UI Semibold"/>
                <w:sz w:val="20"/>
              </w:rPr>
              <w:t>3</w:t>
            </w:r>
            <w:r>
              <w:rPr>
                <w:rFonts w:asciiTheme="minorHAnsi" w:hAnsiTheme="minorHAnsi" w:cs="Segoe UI Semibold"/>
                <w:sz w:val="20"/>
              </w:rPr>
              <w:t xml:space="preserve"> </w:t>
            </w:r>
            <w:r w:rsidR="00F74B29">
              <w:rPr>
                <w:rFonts w:asciiTheme="minorHAnsi" w:hAnsiTheme="minorHAnsi" w:cs="Segoe UI Semibold"/>
                <w:sz w:val="20"/>
              </w:rPr>
              <w:t>May</w:t>
            </w:r>
            <w:r>
              <w:rPr>
                <w:rFonts w:asciiTheme="minorHAnsi" w:hAnsiTheme="minorHAnsi" w:cs="Segoe UI Semibold"/>
                <w:sz w:val="20"/>
              </w:rPr>
              <w:t>/</w:t>
            </w:r>
            <w:r w:rsidR="00F74B29">
              <w:rPr>
                <w:rFonts w:asciiTheme="minorHAnsi" w:hAnsiTheme="minorHAnsi" w:cs="Segoe UI Semibold"/>
                <w:sz w:val="20"/>
              </w:rPr>
              <w:t>1</w:t>
            </w:r>
            <w:r w:rsidR="004130EF">
              <w:rPr>
                <w:rFonts w:asciiTheme="minorHAnsi" w:hAnsiTheme="minorHAnsi" w:cs="Segoe UI Semibold"/>
                <w:sz w:val="20"/>
              </w:rPr>
              <w:t>4</w:t>
            </w:r>
            <w:r>
              <w:rPr>
                <w:rFonts w:asciiTheme="minorHAnsi" w:hAnsiTheme="minorHAnsi" w:cs="Segoe UI Semibold"/>
                <w:sz w:val="20"/>
              </w:rPr>
              <w:t xml:space="preserve"> Jun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7757B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RM</w:t>
            </w:r>
            <w:r w:rsidR="007757BC">
              <w:rPr>
                <w:rFonts w:asciiTheme="minorHAnsi" w:hAnsiTheme="minorHAnsi" w:cs="Segoe UI Semibold"/>
                <w:sz w:val="20"/>
              </w:rPr>
              <w:t>932.80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7757BC">
              <w:rPr>
                <w:rFonts w:asciiTheme="minorHAnsi" w:hAnsiTheme="minorHAnsi" w:cs="Segoe UI Semibold"/>
                <w:bCs/>
                <w:sz w:val="20"/>
              </w:rPr>
              <w:t>Fee is inclusive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EE7D10">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6807E9" w:rsidRDefault="006807E9">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B2F6D" w:rsidRDefault="003B2F6D">
      <w:pPr>
        <w:rPr>
          <w:rFonts w:asciiTheme="minorHAnsi" w:hAnsiTheme="minorHAnsi"/>
        </w:rPr>
      </w:pPr>
    </w:p>
    <w:p w:rsidR="003B2F6D" w:rsidRPr="00B26841" w:rsidRDefault="003B2F6D">
      <w:pPr>
        <w:rPr>
          <w:rFonts w:asciiTheme="minorHAnsi" w:hAnsiTheme="minorHAnsi"/>
        </w:rPr>
        <w:sectPr w:rsidR="003B2F6D" w:rsidRPr="00B26841" w:rsidSect="004C3B41">
          <w:type w:val="continuous"/>
          <w:pgSz w:w="11906" w:h="16838" w:code="9"/>
          <w:pgMar w:top="1440" w:right="1440" w:bottom="1440" w:left="1440" w:header="0" w:footer="0" w:gutter="0"/>
          <w:cols w:num="2" w:sep="1" w:space="720"/>
          <w:titlePg/>
          <w:docGrid w:linePitch="299"/>
        </w:sectPr>
      </w:pPr>
    </w:p>
    <w:p w:rsidR="003F6F40" w:rsidRDefault="003F6F40"/>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1C48D9" w:rsidRDefault="001C48D9" w:rsidP="00D90843">
      <w:pPr>
        <w:rPr>
          <w:rFonts w:asciiTheme="minorHAnsi" w:hAnsiTheme="minorHAnsi"/>
        </w:rPr>
      </w:pPr>
    </w:p>
    <w:p w:rsidR="001C48D9" w:rsidRDefault="001C48D9" w:rsidP="00D90843">
      <w:pPr>
        <w:rPr>
          <w:rFonts w:asciiTheme="minorHAnsi" w:hAnsiTheme="minorHAnsi"/>
        </w:rPr>
      </w:pPr>
    </w:p>
    <w:p w:rsidR="001C48D9" w:rsidRDefault="001C48D9" w:rsidP="00D90843">
      <w:pPr>
        <w:rPr>
          <w:rFonts w:asciiTheme="minorHAnsi" w:hAnsiTheme="minorHAnsi"/>
        </w:rPr>
      </w:pPr>
    </w:p>
    <w:p w:rsidR="001C48D9" w:rsidRDefault="001C48D9" w:rsidP="00D90843">
      <w:pPr>
        <w:rPr>
          <w:rFonts w:asciiTheme="minorHAnsi" w:hAnsiTheme="minorHAnsi"/>
        </w:rPr>
      </w:pPr>
    </w:p>
    <w:p w:rsidR="001C48D9" w:rsidRDefault="001C48D9" w:rsidP="00D90843">
      <w:pPr>
        <w:rPr>
          <w:rFonts w:asciiTheme="minorHAnsi" w:hAnsiTheme="minorHAnsi"/>
        </w:rPr>
      </w:pPr>
    </w:p>
    <w:p w:rsidR="001C48D9" w:rsidRDefault="001C48D9" w:rsidP="00D90843">
      <w:pPr>
        <w:rPr>
          <w:rFonts w:asciiTheme="minorHAnsi" w:hAnsiTheme="minorHAnsi"/>
        </w:rPr>
      </w:pPr>
    </w:p>
    <w:p w:rsidR="001C48D9" w:rsidRDefault="001C48D9" w:rsidP="00D90843">
      <w:pPr>
        <w:rPr>
          <w:rFonts w:asciiTheme="minorHAnsi" w:hAnsiTheme="minorHAnsi"/>
        </w:rPr>
      </w:pPr>
    </w:p>
    <w:p w:rsidR="001C48D9" w:rsidRDefault="001C48D9"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B2F6D" w:rsidRDefault="003B2F6D" w:rsidP="00D90843">
      <w:pPr>
        <w:rPr>
          <w:rFonts w:asciiTheme="minorHAnsi" w:hAnsiTheme="minorHAnsi"/>
        </w:rPr>
      </w:pPr>
    </w:p>
    <w:p w:rsidR="003B2F6D" w:rsidRDefault="003B2F6D" w:rsidP="00D90843">
      <w:pPr>
        <w:rPr>
          <w:rFonts w:asciiTheme="minorHAnsi" w:hAnsiTheme="minorHAnsi"/>
        </w:rPr>
      </w:pPr>
    </w:p>
    <w:p w:rsidR="00374C5A" w:rsidRDefault="00EE7D10"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w:t>
      </w:r>
      <w:proofErr w:type="spellStart"/>
      <w:r w:rsidRPr="00C248F9">
        <w:rPr>
          <w:rFonts w:asciiTheme="minorHAnsi" w:hAnsiTheme="minorHAnsi"/>
          <w:szCs w:val="22"/>
        </w:rPr>
        <w:t>Bhd</w:t>
      </w:r>
      <w:proofErr w:type="spellEnd"/>
      <w:r w:rsidRPr="00C248F9">
        <w:rPr>
          <w:rFonts w:asciiTheme="minorHAnsi" w:hAnsiTheme="minorHAnsi"/>
          <w:szCs w:val="22"/>
        </w:rPr>
        <w:t xml:space="preserve">, Green Packet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Gadang</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w:t>
      </w:r>
      <w:proofErr w:type="spellStart"/>
      <w:r w:rsidRPr="00C248F9">
        <w:rPr>
          <w:rFonts w:asciiTheme="minorHAnsi" w:hAnsiTheme="minorHAnsi"/>
          <w:szCs w:val="22"/>
        </w:rPr>
        <w:t>Censof</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and Ho </w:t>
      </w:r>
      <w:proofErr w:type="spellStart"/>
      <w:r w:rsidRPr="00C248F9">
        <w:rPr>
          <w:rFonts w:asciiTheme="minorHAnsi" w:hAnsiTheme="minorHAnsi"/>
          <w:szCs w:val="22"/>
        </w:rPr>
        <w:t>Hup</w:t>
      </w:r>
      <w:proofErr w:type="spellEnd"/>
      <w:r w:rsidRPr="00C248F9">
        <w:rPr>
          <w:rFonts w:asciiTheme="minorHAnsi" w:hAnsiTheme="minorHAnsi"/>
          <w:szCs w:val="22"/>
        </w:rPr>
        <w:t xml:space="preserve"> Construction Company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Past directorships in listed entities include IJM Land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Sanbumi</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Omesti</w:t>
      </w:r>
      <w:proofErr w:type="spellEnd"/>
      <w:r w:rsidRPr="00C248F9">
        <w:rPr>
          <w:rFonts w:asciiTheme="minorHAnsi" w:hAnsiTheme="minorHAnsi"/>
          <w:szCs w:val="22"/>
        </w:rPr>
        <w:t xml:space="preserve"> </w:t>
      </w:r>
      <w:proofErr w:type="spellStart"/>
      <w:r w:rsidRPr="00C248F9">
        <w:rPr>
          <w:rFonts w:asciiTheme="minorHAnsi" w:hAnsiTheme="minorHAnsi"/>
          <w:szCs w:val="22"/>
        </w:rPr>
        <w:t>Berahd</w:t>
      </w:r>
      <w:proofErr w:type="spellEnd"/>
      <w:r w:rsidRPr="00C248F9">
        <w:rPr>
          <w:rFonts w:asciiTheme="minorHAnsi" w:hAnsiTheme="minorHAnsi"/>
          <w:szCs w:val="22"/>
        </w:rPr>
        <w:t xml:space="preserve"> and </w:t>
      </w:r>
      <w:proofErr w:type="spellStart"/>
      <w:r w:rsidRPr="00C248F9">
        <w:rPr>
          <w:rFonts w:asciiTheme="minorHAnsi" w:hAnsiTheme="minorHAnsi"/>
          <w:szCs w:val="22"/>
        </w:rPr>
        <w:t>Permaju</w:t>
      </w:r>
      <w:proofErr w:type="spellEnd"/>
      <w:r w:rsidRPr="00C248F9">
        <w:rPr>
          <w:rFonts w:asciiTheme="minorHAnsi" w:hAnsiTheme="minorHAnsi"/>
          <w:szCs w:val="22"/>
        </w:rPr>
        <w:t xml:space="preserve"> Industries </w:t>
      </w:r>
      <w:proofErr w:type="spellStart"/>
      <w:r w:rsidRPr="00C248F9">
        <w:rPr>
          <w:rFonts w:asciiTheme="minorHAnsi" w:hAnsiTheme="minorHAnsi"/>
          <w:szCs w:val="22"/>
        </w:rPr>
        <w:t>Berhad</w:t>
      </w:r>
      <w:proofErr w:type="spellEnd"/>
      <w:r w:rsidRPr="00C248F9">
        <w:rPr>
          <w:rFonts w:asciiTheme="minorHAnsi" w:hAnsiTheme="minorHAnsi"/>
          <w:szCs w:val="22"/>
        </w:rPr>
        <w:t>.</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B849C3" w:rsidRPr="00B849C3" w:rsidRDefault="00B849C3" w:rsidP="00B849C3">
      <w:pPr>
        <w:jc w:val="center"/>
        <w:rPr>
          <w:rFonts w:asciiTheme="minorHAnsi" w:eastAsiaTheme="majorEastAsia" w:hAnsiTheme="minorHAnsi" w:cstheme="majorBidi"/>
          <w:b/>
          <w:bCs/>
          <w:color w:val="365F91" w:themeColor="accent1" w:themeShade="BF"/>
          <w:sz w:val="28"/>
          <w:szCs w:val="28"/>
        </w:rPr>
      </w:pPr>
      <w:r w:rsidRPr="00B849C3">
        <w:rPr>
          <w:rFonts w:asciiTheme="minorHAnsi" w:eastAsiaTheme="majorEastAsia" w:hAnsiTheme="minorHAnsi" w:cstheme="majorBidi"/>
          <w:b/>
          <w:bCs/>
          <w:color w:val="365F91" w:themeColor="accent1" w:themeShade="BF"/>
          <w:sz w:val="28"/>
          <w:szCs w:val="28"/>
        </w:rPr>
        <w:t xml:space="preserve">DETECTING, PREVENTING &amp; REPORTING FRAUD </w:t>
      </w:r>
    </w:p>
    <w:p w:rsidR="00B849C3" w:rsidRPr="00B849C3" w:rsidRDefault="00B849C3" w:rsidP="00B849C3">
      <w:pPr>
        <w:jc w:val="center"/>
        <w:rPr>
          <w:rFonts w:asciiTheme="minorHAnsi" w:eastAsiaTheme="majorEastAsia" w:hAnsiTheme="minorHAnsi" w:cstheme="majorBidi"/>
          <w:b/>
          <w:bCs/>
          <w:color w:val="365F91" w:themeColor="accent1" w:themeShade="BF"/>
          <w:sz w:val="28"/>
          <w:szCs w:val="28"/>
        </w:rPr>
      </w:pPr>
      <w:r w:rsidRPr="00B849C3">
        <w:rPr>
          <w:rFonts w:asciiTheme="minorHAnsi" w:eastAsiaTheme="majorEastAsia" w:hAnsiTheme="minorHAnsi" w:cstheme="majorBidi"/>
          <w:b/>
          <w:bCs/>
          <w:color w:val="365F91" w:themeColor="accent1" w:themeShade="BF"/>
          <w:sz w:val="28"/>
          <w:szCs w:val="28"/>
        </w:rPr>
        <w:t xml:space="preserve">AND FINANCIAL IRREGULARITIES </w:t>
      </w:r>
    </w:p>
    <w:p w:rsidR="007757BC" w:rsidRPr="007757BC" w:rsidRDefault="00B849C3" w:rsidP="00B849C3">
      <w:pPr>
        <w:jc w:val="center"/>
        <w:rPr>
          <w:rFonts w:asciiTheme="minorHAnsi" w:eastAsiaTheme="majorEastAsia" w:hAnsiTheme="minorHAnsi" w:cstheme="majorBidi"/>
          <w:b/>
          <w:bCs/>
          <w:color w:val="365F91" w:themeColor="accent1" w:themeShade="BF"/>
          <w:sz w:val="28"/>
          <w:szCs w:val="28"/>
        </w:rPr>
      </w:pPr>
      <w:r w:rsidRPr="00B849C3">
        <w:rPr>
          <w:rFonts w:asciiTheme="minorHAnsi" w:eastAsiaTheme="majorEastAsia" w:hAnsiTheme="minorHAnsi" w:cstheme="majorBidi"/>
          <w:b/>
          <w:bCs/>
          <w:color w:val="365F91" w:themeColor="accent1" w:themeShade="BF"/>
          <w:sz w:val="28"/>
          <w:szCs w:val="28"/>
        </w:rPr>
        <w:t xml:space="preserve">– What </w:t>
      </w:r>
      <w:proofErr w:type="gramStart"/>
      <w:r w:rsidRPr="00B849C3">
        <w:rPr>
          <w:rFonts w:asciiTheme="minorHAnsi" w:eastAsiaTheme="majorEastAsia" w:hAnsiTheme="minorHAnsi" w:cstheme="majorBidi"/>
          <w:b/>
          <w:bCs/>
          <w:color w:val="365F91" w:themeColor="accent1" w:themeShade="BF"/>
          <w:sz w:val="28"/>
          <w:szCs w:val="28"/>
        </w:rPr>
        <w:t>A</w:t>
      </w:r>
      <w:proofErr w:type="gramEnd"/>
      <w:r w:rsidRPr="00B849C3">
        <w:rPr>
          <w:rFonts w:asciiTheme="minorHAnsi" w:eastAsiaTheme="majorEastAsia" w:hAnsiTheme="minorHAnsi" w:cstheme="majorBidi"/>
          <w:b/>
          <w:bCs/>
          <w:color w:val="365F91" w:themeColor="accent1" w:themeShade="BF"/>
          <w:sz w:val="28"/>
          <w:szCs w:val="28"/>
        </w:rPr>
        <w:t xml:space="preserve"> Company Secretary Needs To Do</w:t>
      </w:r>
      <w:r w:rsidR="007757BC">
        <w:rPr>
          <w:rFonts w:asciiTheme="minorHAnsi" w:eastAsiaTheme="majorEastAsia" w:hAnsiTheme="minorHAnsi" w:cstheme="majorBidi"/>
          <w:b/>
          <w:bCs/>
          <w:color w:val="365F91" w:themeColor="accent1" w:themeShade="BF"/>
          <w:sz w:val="28"/>
          <w:szCs w:val="28"/>
        </w:rPr>
        <w:br/>
      </w:r>
    </w:p>
    <w:p w:rsidR="000D57B6" w:rsidRDefault="000D57B6" w:rsidP="007757BC">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EE7D10">
      <w:pPr>
        <w:rPr>
          <w:rFonts w:asciiTheme="minorHAnsi" w:hAnsiTheme="minorHAnsi"/>
          <w:sz w:val="24"/>
          <w:szCs w:val="24"/>
        </w:rPr>
      </w:pPr>
      <w:r w:rsidRPr="00EE7D10">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521"/>
        <w:gridCol w:w="540"/>
        <w:gridCol w:w="1710"/>
        <w:gridCol w:w="450"/>
        <w:gridCol w:w="3309"/>
      </w:tblGrid>
      <w:tr w:rsidR="00E76169" w:rsidRPr="00E76169" w:rsidTr="00C248F9">
        <w:tc>
          <w:tcPr>
            <w:tcW w:w="567" w:type="dxa"/>
          </w:tcPr>
          <w:p w:rsidR="00E76169" w:rsidRPr="00E76169" w:rsidRDefault="00EE7D10" w:rsidP="007757B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251653120;mso-position-vertical-relative:margin">
                  <v:shadow on="t" offset=",3pt" offset2=",2pt"/>
                  <w10:wrap anchory="margin"/>
                </v:rect>
              </w:pict>
            </w:r>
          </w:p>
        </w:tc>
        <w:tc>
          <w:tcPr>
            <w:tcW w:w="1521" w:type="dxa"/>
          </w:tcPr>
          <w:p w:rsidR="00E76169" w:rsidRPr="00E76169" w:rsidRDefault="00354FC1" w:rsidP="00F012B2">
            <w:pPr>
              <w:rPr>
                <w:rFonts w:asciiTheme="minorHAnsi" w:hAnsiTheme="minorHAnsi"/>
                <w:sz w:val="24"/>
                <w:szCs w:val="24"/>
                <w:lang w:val="en-US"/>
              </w:rPr>
            </w:pPr>
            <w:r>
              <w:rPr>
                <w:rFonts w:asciiTheme="minorHAnsi" w:hAnsiTheme="minorHAnsi"/>
                <w:sz w:val="24"/>
                <w:szCs w:val="24"/>
                <w:lang w:val="en-US"/>
              </w:rPr>
              <w:t>1</w:t>
            </w:r>
            <w:r w:rsidR="00F012B2">
              <w:rPr>
                <w:rFonts w:asciiTheme="minorHAnsi" w:hAnsiTheme="minorHAnsi"/>
                <w:sz w:val="24"/>
                <w:szCs w:val="24"/>
                <w:lang w:val="en-US"/>
              </w:rPr>
              <w:t>8</w:t>
            </w:r>
            <w:r w:rsidR="004E6547">
              <w:rPr>
                <w:rFonts w:asciiTheme="minorHAnsi" w:hAnsiTheme="minorHAnsi"/>
                <w:sz w:val="24"/>
                <w:szCs w:val="24"/>
                <w:lang w:val="en-US"/>
              </w:rPr>
              <w:t xml:space="preserve"> </w:t>
            </w:r>
            <w:r w:rsidR="007757BC">
              <w:rPr>
                <w:rFonts w:asciiTheme="minorHAnsi" w:hAnsiTheme="minorHAnsi"/>
                <w:sz w:val="24"/>
                <w:szCs w:val="24"/>
                <w:lang w:val="en-US"/>
              </w:rPr>
              <w:t>Mar</w:t>
            </w:r>
          </w:p>
        </w:tc>
        <w:tc>
          <w:tcPr>
            <w:tcW w:w="540" w:type="dxa"/>
          </w:tcPr>
          <w:p w:rsidR="00E76169" w:rsidRPr="00E76169" w:rsidRDefault="00EE7D10" w:rsidP="007757B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251654144;mso-position-horizontal-relative:text;mso-position-vertical-relative:margin">
                  <v:shadow on="t" offset=",3pt" offset2=",2pt"/>
                  <w10:wrap anchory="margin"/>
                </v:rect>
              </w:pict>
            </w:r>
          </w:p>
        </w:tc>
        <w:tc>
          <w:tcPr>
            <w:tcW w:w="1710" w:type="dxa"/>
          </w:tcPr>
          <w:p w:rsidR="00E76169" w:rsidRPr="00E76169" w:rsidRDefault="00354FC1" w:rsidP="00F012B2">
            <w:pPr>
              <w:rPr>
                <w:rFonts w:asciiTheme="minorHAnsi" w:hAnsiTheme="minorHAnsi"/>
                <w:sz w:val="24"/>
                <w:szCs w:val="24"/>
                <w:lang w:val="en-US"/>
              </w:rPr>
            </w:pPr>
            <w:r>
              <w:rPr>
                <w:rFonts w:asciiTheme="minorHAnsi" w:hAnsiTheme="minorHAnsi"/>
                <w:sz w:val="24"/>
                <w:szCs w:val="24"/>
                <w:lang w:val="en-US"/>
              </w:rPr>
              <w:t>0</w:t>
            </w:r>
            <w:r w:rsidR="00F012B2">
              <w:rPr>
                <w:rFonts w:asciiTheme="minorHAnsi" w:hAnsiTheme="minorHAnsi"/>
                <w:sz w:val="24"/>
                <w:szCs w:val="24"/>
                <w:lang w:val="en-US"/>
              </w:rPr>
              <w:t>3</w:t>
            </w:r>
            <w:r w:rsidR="007757BC">
              <w:rPr>
                <w:rFonts w:asciiTheme="minorHAnsi" w:hAnsiTheme="minorHAnsi"/>
                <w:sz w:val="24"/>
                <w:szCs w:val="24"/>
                <w:lang w:val="en-US"/>
              </w:rPr>
              <w:t xml:space="preserve"> </w:t>
            </w:r>
            <w:r w:rsidR="00B437BE">
              <w:rPr>
                <w:rFonts w:asciiTheme="minorHAnsi" w:hAnsiTheme="minorHAnsi"/>
                <w:sz w:val="24"/>
                <w:szCs w:val="24"/>
                <w:lang w:val="en-US"/>
              </w:rPr>
              <w:t>May</w:t>
            </w:r>
          </w:p>
        </w:tc>
        <w:tc>
          <w:tcPr>
            <w:tcW w:w="450" w:type="dxa"/>
          </w:tcPr>
          <w:p w:rsidR="00E76169" w:rsidRPr="00E76169" w:rsidRDefault="00EE7D10" w:rsidP="007757BC">
            <w:pPr>
              <w:rPr>
                <w:rFonts w:asciiTheme="minorHAnsi" w:hAnsiTheme="minorHAnsi"/>
                <w:sz w:val="24"/>
                <w:szCs w:val="24"/>
                <w:lang w:val="en-US"/>
              </w:rPr>
            </w:pPr>
            <w:r>
              <w:rPr>
                <w:rFonts w:asciiTheme="minorHAnsi" w:hAnsiTheme="minorHAnsi"/>
                <w:noProof/>
                <w:sz w:val="24"/>
                <w:szCs w:val="24"/>
                <w:lang w:val="en-US"/>
              </w:rPr>
              <w:pict>
                <v:rect id="_x0000_s1065" style="position:absolute;margin-left:-1.8pt;margin-top:.65pt;width:10.65pt;height:10.05pt;z-index:251670528;mso-position-horizontal-relative:text;mso-position-vertical-relative:margin">
                  <v:shadow on="t" offset=",3pt" offset2=",2pt"/>
                  <w10:wrap anchory="margin"/>
                </v:rect>
              </w:pict>
            </w:r>
          </w:p>
        </w:tc>
        <w:tc>
          <w:tcPr>
            <w:tcW w:w="3309" w:type="dxa"/>
          </w:tcPr>
          <w:p w:rsidR="00E76169" w:rsidRPr="00E76169" w:rsidRDefault="00B437BE" w:rsidP="00F012B2">
            <w:pPr>
              <w:rPr>
                <w:rFonts w:asciiTheme="minorHAnsi" w:hAnsiTheme="minorHAnsi"/>
                <w:sz w:val="24"/>
                <w:szCs w:val="24"/>
                <w:lang w:val="en-US"/>
              </w:rPr>
            </w:pPr>
            <w:r>
              <w:rPr>
                <w:rFonts w:asciiTheme="minorHAnsi" w:hAnsiTheme="minorHAnsi"/>
                <w:sz w:val="24"/>
                <w:szCs w:val="24"/>
                <w:lang w:val="en-US"/>
              </w:rPr>
              <w:t>1</w:t>
            </w:r>
            <w:r w:rsidR="00F012B2">
              <w:rPr>
                <w:rFonts w:asciiTheme="minorHAnsi" w:hAnsiTheme="minorHAnsi"/>
                <w:sz w:val="24"/>
                <w:szCs w:val="24"/>
                <w:lang w:val="en-US"/>
              </w:rPr>
              <w:t>4</w:t>
            </w:r>
            <w:r w:rsidR="007757BC">
              <w:rPr>
                <w:rFonts w:asciiTheme="minorHAnsi" w:hAnsiTheme="minorHAnsi"/>
                <w:sz w:val="24"/>
                <w:szCs w:val="24"/>
                <w:lang w:val="en-US"/>
              </w:rPr>
              <w:t xml:space="preserve"> Jun 2016</w:t>
            </w:r>
          </w:p>
        </w:tc>
      </w:tr>
    </w:tbl>
    <w:p w:rsidR="0027004C" w:rsidRDefault="0027004C" w:rsidP="002D40CE">
      <w:pPr>
        <w:pStyle w:val="Heading2"/>
        <w:jc w:val="left"/>
        <w:rPr>
          <w:sz w:val="16"/>
          <w:szCs w:val="16"/>
        </w:rPr>
      </w:pPr>
    </w:p>
    <w:p w:rsidR="004E6547" w:rsidRDefault="00EE7D10" w:rsidP="00E76169">
      <w:pPr>
        <w:rPr>
          <w:rFonts w:asciiTheme="minorHAnsi" w:hAnsiTheme="minorHAnsi"/>
          <w:sz w:val="24"/>
          <w:szCs w:val="24"/>
        </w:rPr>
      </w:pPr>
      <w:r w:rsidRPr="00EE7D10">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EE7D10" w:rsidP="00E76169">
      <w:pPr>
        <w:jc w:val="center"/>
        <w:rPr>
          <w:rFonts w:asciiTheme="minorHAnsi" w:hAnsiTheme="minorHAnsi"/>
          <w:sz w:val="24"/>
          <w:szCs w:val="24"/>
        </w:rPr>
      </w:pPr>
      <w:r w:rsidRPr="00EE7D10">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please</w:t>
      </w:r>
      <w:proofErr w:type="gramEnd"/>
      <w:r w:rsidRPr="00E76169">
        <w:rPr>
          <w:rFonts w:asciiTheme="minorHAnsi" w:hAnsiTheme="minorHAnsi"/>
          <w:sz w:val="24"/>
          <w:szCs w:val="24"/>
        </w:rPr>
        <w:t xml:space="preserve"> call 03-7958 8001 / 03-7958 8002 or</w:t>
      </w:r>
    </w:p>
    <w:p w:rsidR="00C248F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fax</w:t>
      </w:r>
      <w:proofErr w:type="gramEnd"/>
      <w:r w:rsidRPr="00E76169">
        <w:rPr>
          <w:rFonts w:asciiTheme="minorHAnsi" w:hAnsiTheme="minorHAnsi"/>
          <w:sz w:val="24"/>
          <w:szCs w:val="24"/>
        </w:rPr>
        <w:t xml:space="preserve">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e-mail</w:t>
      </w:r>
      <w:proofErr w:type="gramEnd"/>
      <w:r w:rsidRPr="00E76169">
        <w:rPr>
          <w:rFonts w:asciiTheme="minorHAnsi" w:hAnsiTheme="minorHAnsi"/>
          <w:sz w:val="24"/>
          <w:szCs w:val="24"/>
        </w:rPr>
        <w:t xml:space="preserve"> to: </w:t>
      </w:r>
      <w:hyperlink r:id="rId15" w:history="1">
        <w:r w:rsidR="00C248F9" w:rsidRPr="008A4104">
          <w:rPr>
            <w:rStyle w:val="Hyperlink"/>
            <w:rFonts w:asciiTheme="minorHAnsi" w:hAnsiTheme="minorHAnsi"/>
            <w:sz w:val="24"/>
            <w:szCs w:val="24"/>
          </w:rPr>
          <w:t>mailmarshal@bursatra.com.my</w:t>
        </w:r>
      </w:hyperlink>
    </w:p>
    <w:p w:rsidR="00C248F9" w:rsidRDefault="00EE7D10"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A64" w:rsidRDefault="004C5A64">
      <w:r>
        <w:separator/>
      </w:r>
    </w:p>
  </w:endnote>
  <w:endnote w:type="continuationSeparator" w:id="0">
    <w:p w:rsidR="004C5A64" w:rsidRDefault="004C5A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A64" w:rsidRDefault="004C5A64">
      <w:r>
        <w:separator/>
      </w:r>
    </w:p>
  </w:footnote>
  <w:footnote w:type="continuationSeparator" w:id="0">
    <w:p w:rsidR="004C5A64" w:rsidRDefault="004C5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EE7D1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EE7D10" w:rsidP="00C24690">
    <w:pPr>
      <w:pStyle w:val="Heading5"/>
      <w:ind w:left="-810" w:hanging="90"/>
      <w:rPr>
        <w:rFonts w:ascii="Century Gothic" w:hAnsi="Century Gothic"/>
        <w:i w:val="0"/>
        <w:iCs/>
        <w:sz w:val="24"/>
        <w:szCs w:val="24"/>
      </w:rPr>
    </w:pPr>
    <w:r w:rsidRPr="00EE7D1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EE7D1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504"/>
    <w:multiLevelType w:val="hybridMultilevel"/>
    <w:tmpl w:val="67A8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317C2"/>
    <w:multiLevelType w:val="hybridMultilevel"/>
    <w:tmpl w:val="3D02E85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75E71"/>
    <w:multiLevelType w:val="hybridMultilevel"/>
    <w:tmpl w:val="AE405B1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726B31C7"/>
    <w:multiLevelType w:val="hybridMultilevel"/>
    <w:tmpl w:val="C26C620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4"/>
  </w:num>
  <w:num w:numId="2">
    <w:abstractNumId w:val="2"/>
  </w:num>
  <w:num w:numId="3">
    <w:abstractNumId w:val="8"/>
  </w:num>
  <w:num w:numId="4">
    <w:abstractNumId w:val="5"/>
  </w:num>
  <w:num w:numId="5">
    <w:abstractNumId w:val="7"/>
  </w:num>
  <w:num w:numId="6">
    <w:abstractNumId w:val="3"/>
  </w:num>
  <w:num w:numId="7">
    <w:abstractNumId w:val="0"/>
  </w:num>
  <w:num w:numId="8">
    <w:abstractNumId w:val="1"/>
  </w:num>
  <w:num w:numId="9">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6146">
      <o:colormru v:ext="edit" colors="#eaeaea"/>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05552"/>
    <w:rsid w:val="00116013"/>
    <w:rsid w:val="00120F5D"/>
    <w:rsid w:val="001215E3"/>
    <w:rsid w:val="00133138"/>
    <w:rsid w:val="0013504A"/>
    <w:rsid w:val="00136C30"/>
    <w:rsid w:val="00137940"/>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1E4"/>
    <w:rsid w:val="001B0969"/>
    <w:rsid w:val="001B1580"/>
    <w:rsid w:val="001B270D"/>
    <w:rsid w:val="001B32E6"/>
    <w:rsid w:val="001B5FBC"/>
    <w:rsid w:val="001C48D9"/>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629E"/>
    <w:rsid w:val="002F679A"/>
    <w:rsid w:val="00311A19"/>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30BC"/>
    <w:rsid w:val="00394B45"/>
    <w:rsid w:val="00396CCE"/>
    <w:rsid w:val="003A2DB5"/>
    <w:rsid w:val="003A7382"/>
    <w:rsid w:val="003B0F4B"/>
    <w:rsid w:val="003B2F6D"/>
    <w:rsid w:val="003B3940"/>
    <w:rsid w:val="003B49DF"/>
    <w:rsid w:val="003C4202"/>
    <w:rsid w:val="003E086B"/>
    <w:rsid w:val="003E2AB7"/>
    <w:rsid w:val="003F3712"/>
    <w:rsid w:val="003F41F3"/>
    <w:rsid w:val="003F681A"/>
    <w:rsid w:val="003F6F40"/>
    <w:rsid w:val="003F7192"/>
    <w:rsid w:val="004032DA"/>
    <w:rsid w:val="00410606"/>
    <w:rsid w:val="00410B3A"/>
    <w:rsid w:val="004130EF"/>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C5A64"/>
    <w:rsid w:val="004D135F"/>
    <w:rsid w:val="004D5038"/>
    <w:rsid w:val="004E0773"/>
    <w:rsid w:val="004E6547"/>
    <w:rsid w:val="004E68AD"/>
    <w:rsid w:val="004E71E2"/>
    <w:rsid w:val="004F0317"/>
    <w:rsid w:val="00502E5F"/>
    <w:rsid w:val="0051007A"/>
    <w:rsid w:val="005335E3"/>
    <w:rsid w:val="005404B1"/>
    <w:rsid w:val="00541103"/>
    <w:rsid w:val="005451F7"/>
    <w:rsid w:val="005632EC"/>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E6D93"/>
    <w:rsid w:val="00AF24EB"/>
    <w:rsid w:val="00B0380D"/>
    <w:rsid w:val="00B04AC7"/>
    <w:rsid w:val="00B10286"/>
    <w:rsid w:val="00B1346F"/>
    <w:rsid w:val="00B1435F"/>
    <w:rsid w:val="00B14653"/>
    <w:rsid w:val="00B162FD"/>
    <w:rsid w:val="00B16A82"/>
    <w:rsid w:val="00B2339C"/>
    <w:rsid w:val="00B266B7"/>
    <w:rsid w:val="00B26841"/>
    <w:rsid w:val="00B318E2"/>
    <w:rsid w:val="00B3486C"/>
    <w:rsid w:val="00B437BE"/>
    <w:rsid w:val="00B43804"/>
    <w:rsid w:val="00B4435B"/>
    <w:rsid w:val="00B45D60"/>
    <w:rsid w:val="00B53DAF"/>
    <w:rsid w:val="00B62990"/>
    <w:rsid w:val="00B66D36"/>
    <w:rsid w:val="00B82548"/>
    <w:rsid w:val="00B849C3"/>
    <w:rsid w:val="00B923DB"/>
    <w:rsid w:val="00B954D2"/>
    <w:rsid w:val="00B9676C"/>
    <w:rsid w:val="00BA45A9"/>
    <w:rsid w:val="00BB12F9"/>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E7D10"/>
    <w:rsid w:val="00EF01DC"/>
    <w:rsid w:val="00EF2CC1"/>
    <w:rsid w:val="00F00607"/>
    <w:rsid w:val="00F012B2"/>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6CB"/>
    <w:rsid w:val="00F66E17"/>
    <w:rsid w:val="00F70863"/>
    <w:rsid w:val="00F7475B"/>
    <w:rsid w:val="00F74B29"/>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
    </o:shapedefaults>
    <o:shapelayout v:ext="edit">
      <o:idmap v:ext="edit" data="1"/>
      <o:rules v:ext="edit">
        <o:r id="V:Rule4" type="connector" idref="#_x0000_s1034"/>
        <o:r id="V:Rule5" type="connector" idref="#_x0000_s103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ilmarshal@bursatra.com.my"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9769FD-4281-4212-963F-8B680A9C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4472</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AuditCommitteesOversight</dc:title>
  <dc:creator>Azlan</dc:creator>
  <cp:lastModifiedBy>Azlan</cp:lastModifiedBy>
  <cp:revision>6</cp:revision>
  <cp:lastPrinted>2016-01-31T16:54:00Z</cp:lastPrinted>
  <dcterms:created xsi:type="dcterms:W3CDTF">2016-01-31T17:28:00Z</dcterms:created>
  <dcterms:modified xsi:type="dcterms:W3CDTF">2016-01-31T17:35:00Z</dcterms:modified>
  <cp:category>Corporate Governance Management and Best Practices</cp:category>
</cp:coreProperties>
</file>